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94FAA" w14:textId="77777777" w:rsidR="009656C1" w:rsidRDefault="009656C1" w:rsidP="009656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Throughout the years the name “Four Seasons” has become synonymous with words such as excellence, luxury, and service. In their mission statement, it even says, “we are ladies and gentlemen, serving ladies and gentlemen.” That statement alone can attest to the main reason the Four Season has been so successful over the last 30 years. They understand that their main mission is not only to provide exceptional service but rather a personalized service, while still maintaining their set universal standards of service that do not change or vary regardless of the location. Instead what they change is how that service is delivered depending on where the hotel is located, they make mention in the case study that the Four Seasons top management was described as a “cultural chameleon.” By having this whole notion of being “Italian in Italy and French in France…” and how each experience is tailored made by the style and cultural diversity of staff providing the service varied by the locations in which they are the Four Seasons wanted to ensure that they are not perceived (specifically in France) as this cookie cutter international American company that does the same thing, everywhere or like Disney who came in with a very American mentally into Paris. In our textbook it states, “despite the methodological concerns about cross-cultural research, it is now generally recognized the culturally insensitive attitudes and behaviors stemming from ignorance or from misguided beliefs (“my way is the best” or “what works at home will work here”) are not only inappropriate but can all too often contribute to international business failure”(Dowling, </w:t>
      </w:r>
      <w:proofErr w:type="spellStart"/>
      <w:r>
        <w:rPr>
          <w:rFonts w:ascii="Helvetica" w:hAnsi="Helvetica" w:cs="Helvetica"/>
          <w:color w:val="2D3B45"/>
        </w:rPr>
        <w:t>Festing</w:t>
      </w:r>
      <w:proofErr w:type="spellEnd"/>
      <w:r>
        <w:rPr>
          <w:rFonts w:ascii="Helvetica" w:hAnsi="Helvetica" w:cs="Helvetica"/>
          <w:color w:val="2D3B45"/>
        </w:rPr>
        <w:t>, &amp; Engle, 2017, p. 10) and that is one of the many human resource strategies that play a role in their success.</w:t>
      </w:r>
    </w:p>
    <w:p w14:paraId="4E31F750" w14:textId="77777777" w:rsidR="009656C1" w:rsidRDefault="009656C1" w:rsidP="009656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They implemented the “Golden Rule” which basically states that one should treat others the way they wish to be treated and that has become the key to their companies international standards, from a human resource perspective </w:t>
      </w:r>
      <w:proofErr w:type="spellStart"/>
      <w:r>
        <w:rPr>
          <w:rFonts w:ascii="Helvetica" w:hAnsi="Helvetica" w:cs="Helvetica"/>
          <w:color w:val="2D3B45"/>
        </w:rPr>
        <w:t>its</w:t>
      </w:r>
      <w:proofErr w:type="spellEnd"/>
      <w:r>
        <w:rPr>
          <w:rFonts w:ascii="Helvetica" w:hAnsi="Helvetica" w:cs="Helvetica"/>
          <w:color w:val="2D3B45"/>
        </w:rPr>
        <w:t xml:space="preserve"> something so simple and basic yet almost revolutionary because to treat employees with dignity and appeal to their basic human needs is not something that is often seen in most organizational cultures. In terms of their entrance to Paris, I feel that Four Seasons already having these human resource strategies and practices of being able to adapt to the cultural environment allowed them to ensure that the tangible aspect of their company is exceptionally executed, they mentioned in the case study that they “tipped toed into Paris” and that “ how they came in was almost as important as what they did.” In the textbook they touch upon “cultural shock and how it is a phenomenon experienced by people who move across cultures, people experience a shock reaction to new cultural experiences that cause psychological disorientation because they misunderstand or do not recognize important cues.” (Dowling, </w:t>
      </w:r>
      <w:proofErr w:type="spellStart"/>
      <w:r>
        <w:rPr>
          <w:rFonts w:ascii="Helvetica" w:hAnsi="Helvetica" w:cs="Helvetica"/>
          <w:color w:val="2D3B45"/>
        </w:rPr>
        <w:t>Festing</w:t>
      </w:r>
      <w:proofErr w:type="spellEnd"/>
      <w:r>
        <w:rPr>
          <w:rFonts w:ascii="Helvetica" w:hAnsi="Helvetica" w:cs="Helvetica"/>
          <w:color w:val="2D3B45"/>
        </w:rPr>
        <w:t>, &amp; Engle, 2017, p. 9) I think as much as the Four Seasons did not want to cause this reaction for their French staff, it was also a learning curve for the company. According to the case, much of the success was based on the company recognizing social and cultural cues of their French employee and how they decided to handle it and push forward with their standards in hand. They mentioned that the French are managed differently than what they expected, for the French, it is degrading to be in the service of anyone, even a boss but to give service is considered honorable. They have a more emotional way of doing things and while that helps to create an engaging experience it can have a downside of being short-tempered while things go awry.   </w:t>
      </w:r>
    </w:p>
    <w:p w14:paraId="6DE987A2" w14:textId="77777777" w:rsidR="009656C1" w:rsidRDefault="009656C1" w:rsidP="009656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xml:space="preserve">What also played in favor of the Four Season was that they showed respect for the way things are done in France, when they shut down the George for </w:t>
      </w:r>
      <w:proofErr w:type="gramStart"/>
      <w:r>
        <w:rPr>
          <w:rFonts w:ascii="Helvetica" w:hAnsi="Helvetica" w:cs="Helvetica"/>
          <w:color w:val="2D3B45"/>
        </w:rPr>
        <w:t>renovations</w:t>
      </w:r>
      <w:proofErr w:type="gramEnd"/>
      <w:r>
        <w:rPr>
          <w:rFonts w:ascii="Helvetica" w:hAnsi="Helvetica" w:cs="Helvetica"/>
          <w:color w:val="2D3B45"/>
        </w:rPr>
        <w:t xml:space="preserve"> they followed the letter of law regarding all things union and offered everyone a job once the property reopened if they wanted to stay. Drawing from the comparison to the New York City unions mentioned in the case, I’ve seen firsthand the negative sentiments it creates when offshore investors would shut down a hotel and internationally prolong renovations over the two-year mark so that they wouldn’t have to hire back the union employees. The Four Seasons not only followed </w:t>
      </w:r>
      <w:proofErr w:type="gramStart"/>
      <w:r>
        <w:rPr>
          <w:rFonts w:ascii="Helvetica" w:hAnsi="Helvetica" w:cs="Helvetica"/>
          <w:color w:val="2D3B45"/>
        </w:rPr>
        <w:t>all of</w:t>
      </w:r>
      <w:proofErr w:type="gramEnd"/>
      <w:r>
        <w:rPr>
          <w:rFonts w:ascii="Helvetica" w:hAnsi="Helvetica" w:cs="Helvetica"/>
          <w:color w:val="2D3B45"/>
        </w:rPr>
        <w:t xml:space="preserve"> the union laws they also showed transparency on every cultural matter much like the “universalist” from the Trompenaars and Hampden-Turner study, whose logic was “what is good and right can be defined and always applies.”  (Dowling, </w:t>
      </w:r>
      <w:proofErr w:type="spellStart"/>
      <w:r>
        <w:rPr>
          <w:rFonts w:ascii="Helvetica" w:hAnsi="Helvetica" w:cs="Helvetica"/>
          <w:color w:val="2D3B45"/>
        </w:rPr>
        <w:t>Festing</w:t>
      </w:r>
      <w:proofErr w:type="spellEnd"/>
      <w:r>
        <w:rPr>
          <w:rFonts w:ascii="Helvetica" w:hAnsi="Helvetica" w:cs="Helvetica"/>
          <w:color w:val="2D3B45"/>
        </w:rPr>
        <w:t>, &amp; Engle, 2017, p. 36)</w:t>
      </w:r>
    </w:p>
    <w:p w14:paraId="33054E4F" w14:textId="77777777" w:rsidR="009656C1" w:rsidRDefault="009656C1" w:rsidP="009656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D99FB4C" w14:textId="77777777" w:rsidR="009656C1" w:rsidRDefault="009656C1" w:rsidP="009656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74A8134" w14:textId="77777777" w:rsidR="009656C1" w:rsidRDefault="009656C1" w:rsidP="009656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04B85A1" w14:textId="77777777" w:rsidR="009656C1" w:rsidRDefault="009656C1" w:rsidP="009656C1">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Hallowell, R., Bowen, D., &amp; Knoop, C. (2016). Four Seasons Goes to Paris. Readings and Cases in International Human Resource Management,</w:t>
      </w:r>
      <w:r>
        <w:rPr>
          <w:rFonts w:ascii="Helvetica" w:hAnsi="Helvetica" w:cs="Helvetica"/>
          <w:color w:val="2D3B45"/>
        </w:rPr>
        <w:br/>
      </w:r>
      <w:r>
        <w:rPr>
          <w:rFonts w:ascii="Helvetica" w:hAnsi="Helvetica" w:cs="Helvetica"/>
          <w:color w:val="2D3B45"/>
        </w:rPr>
        <w:br/>
        <w:t xml:space="preserve">Dowling, P. J., </w:t>
      </w:r>
      <w:proofErr w:type="spellStart"/>
      <w:r>
        <w:rPr>
          <w:rFonts w:ascii="Helvetica" w:hAnsi="Helvetica" w:cs="Helvetica"/>
          <w:color w:val="2D3B45"/>
        </w:rPr>
        <w:t>Festing</w:t>
      </w:r>
      <w:proofErr w:type="spellEnd"/>
      <w:r>
        <w:rPr>
          <w:rFonts w:ascii="Helvetica" w:hAnsi="Helvetica" w:cs="Helvetica"/>
          <w:color w:val="2D3B45"/>
        </w:rPr>
        <w:t>, M., &amp; Engle, A. D. (2017). International human resource management. Andover, Hampshire, United Kingdom: Cengage Learning EMEA.</w:t>
      </w:r>
    </w:p>
    <w:p w14:paraId="788F7F39" w14:textId="31687ADD" w:rsidR="00A75B27" w:rsidRDefault="00A75B27">
      <w:bookmarkStart w:id="0" w:name="_GoBack"/>
      <w:bookmarkEnd w:id="0"/>
    </w:p>
    <w:sectPr w:rsidR="00A75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6C1"/>
    <w:rsid w:val="009656C1"/>
    <w:rsid w:val="00A75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1F16"/>
  <w15:chartTrackingRefBased/>
  <w15:docId w15:val="{BC9A92CC-F70C-4C05-B690-A95C8961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56C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201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2019-01-15T23:16:00Z</dcterms:created>
  <dcterms:modified xsi:type="dcterms:W3CDTF">2019-01-15T23:17:00Z</dcterms:modified>
</cp:coreProperties>
</file>